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4A85E" w14:textId="618ED0B2" w:rsidR="00E13FEC" w:rsidRPr="00110854" w:rsidRDefault="00211C03" w:rsidP="005617BF">
      <w:pPr>
        <w:jc w:val="center"/>
        <w:rPr>
          <w:b/>
          <w:bCs/>
        </w:rPr>
      </w:pPr>
      <w:r w:rsidRPr="00110854">
        <w:t xml:space="preserve">Scripts for </w:t>
      </w:r>
      <w:r w:rsidR="005617BF" w:rsidRPr="00110854">
        <w:t xml:space="preserve">Scene: </w:t>
      </w:r>
      <w:r w:rsidR="000C26D0">
        <w:rPr>
          <w:b/>
          <w:bCs/>
        </w:rPr>
        <w:t>WTInside_Cantilever1</w:t>
      </w:r>
    </w:p>
    <w:p w14:paraId="1B6688AF" w14:textId="4E40FA1F" w:rsidR="00ED67B3" w:rsidRPr="00110854" w:rsidRDefault="000C26D0" w:rsidP="008B3467">
      <w:pPr>
        <w:jc w:val="center"/>
      </w:pPr>
      <w:r w:rsidRPr="00230A3C">
        <w:rPr>
          <w:noProof/>
        </w:rPr>
        <w:drawing>
          <wp:inline distT="0" distB="0" distL="0" distR="0" wp14:anchorId="2DC85466" wp14:editId="795A9E6C">
            <wp:extent cx="3600000" cy="191428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1914286"/>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3969"/>
        <w:gridCol w:w="4389"/>
      </w:tblGrid>
      <w:tr w:rsidR="00110854" w:rsidRPr="00110854" w14:paraId="6585F5CE" w14:textId="77777777" w:rsidTr="00BC16CF">
        <w:tc>
          <w:tcPr>
            <w:tcW w:w="704" w:type="dxa"/>
          </w:tcPr>
          <w:p w14:paraId="6A1CB87E" w14:textId="52C32EA7" w:rsidR="00BC16CF" w:rsidRPr="00110854" w:rsidRDefault="00BC16CF">
            <w:r w:rsidRPr="00110854">
              <w:t>Nr</w:t>
            </w:r>
          </w:p>
        </w:tc>
        <w:tc>
          <w:tcPr>
            <w:tcW w:w="3969" w:type="dxa"/>
          </w:tcPr>
          <w:p w14:paraId="6ADEADFC" w14:textId="2364C26D" w:rsidR="00BC16CF" w:rsidRPr="00110854" w:rsidRDefault="00BC16CF">
            <w:r w:rsidRPr="00110854">
              <w:t>Hotspot</w:t>
            </w:r>
            <w:r w:rsidR="00211D61" w:rsidRPr="00110854">
              <w:t xml:space="preserve"> (see red arrow)</w:t>
            </w:r>
          </w:p>
        </w:tc>
        <w:tc>
          <w:tcPr>
            <w:tcW w:w="4389" w:type="dxa"/>
          </w:tcPr>
          <w:p w14:paraId="7BC5922E" w14:textId="61488A2A" w:rsidR="00BC16CF" w:rsidRPr="00110854" w:rsidRDefault="00BC16CF">
            <w:r w:rsidRPr="00110854">
              <w:t>Script</w:t>
            </w:r>
          </w:p>
        </w:tc>
      </w:tr>
      <w:tr w:rsidR="00110854" w:rsidRPr="00110854" w14:paraId="0D2637E4" w14:textId="77777777" w:rsidTr="00275687">
        <w:tc>
          <w:tcPr>
            <w:tcW w:w="704" w:type="dxa"/>
            <w:shd w:val="clear" w:color="auto" w:fill="92D050"/>
          </w:tcPr>
          <w:p w14:paraId="5F33CCDB" w14:textId="24E1AE30" w:rsidR="00BC16CF" w:rsidRPr="00110854" w:rsidRDefault="00BC16CF">
            <w:r w:rsidRPr="00110854">
              <w:t>1</w:t>
            </w:r>
          </w:p>
        </w:tc>
        <w:tc>
          <w:tcPr>
            <w:tcW w:w="3969" w:type="dxa"/>
          </w:tcPr>
          <w:p w14:paraId="51992AB9" w14:textId="628FE152" w:rsidR="00B213DE" w:rsidRPr="00110854" w:rsidRDefault="00B213DE">
            <w:r w:rsidRPr="00110854">
              <w:t xml:space="preserve">Hotspot: </w:t>
            </w:r>
            <w:r w:rsidR="00CB3CDD">
              <w:t>General description of grouped cylinders experiment</w:t>
            </w:r>
          </w:p>
          <w:p w14:paraId="6146D269" w14:textId="7A2BDD97" w:rsidR="00BC16CF" w:rsidRPr="00110854" w:rsidRDefault="00CB3CDD">
            <w:r w:rsidRPr="00CB3CDD">
              <w:rPr>
                <w:noProof/>
              </w:rPr>
              <w:drawing>
                <wp:inline distT="0" distB="0" distL="0" distR="0" wp14:anchorId="7FE0E1BD" wp14:editId="450B55BF">
                  <wp:extent cx="2160000" cy="121619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1216190"/>
                          </a:xfrm>
                          <a:prstGeom prst="rect">
                            <a:avLst/>
                          </a:prstGeom>
                        </pic:spPr>
                      </pic:pic>
                    </a:graphicData>
                  </a:graphic>
                </wp:inline>
              </w:drawing>
            </w:r>
          </w:p>
        </w:tc>
        <w:tc>
          <w:tcPr>
            <w:tcW w:w="4389" w:type="dxa"/>
          </w:tcPr>
          <w:p w14:paraId="41B35291" w14:textId="3A55C39D" w:rsidR="00BC16CF" w:rsidRPr="00AB017B" w:rsidRDefault="00CB3CDD">
            <w:pPr>
              <w:rPr>
                <w:color w:val="00B050"/>
              </w:rPr>
            </w:pPr>
            <w:r w:rsidRPr="00AB017B">
              <w:rPr>
                <w:color w:val="00B050"/>
              </w:rPr>
              <w:t>Request to BUW: Can we set the view on the left to be the starting point?</w:t>
            </w:r>
          </w:p>
          <w:p w14:paraId="3EDB6CB0" w14:textId="77777777" w:rsidR="00CB3CDD" w:rsidRDefault="00CB3CDD"/>
          <w:p w14:paraId="50848EAB" w14:textId="77777777" w:rsidR="00434FFE" w:rsidRPr="005F44E1" w:rsidRDefault="00434FFE" w:rsidP="00434FFE">
            <w:r>
              <w:t>Slide pictures/Album</w:t>
            </w:r>
            <w:r w:rsidRPr="005F44E1">
              <w:t xml:space="preserve"> (with text):</w:t>
            </w:r>
          </w:p>
          <w:p w14:paraId="08620E04" w14:textId="77777777" w:rsidR="00434FFE" w:rsidRDefault="00434FFE" w:rsidP="00434FFE"/>
          <w:p w14:paraId="69877195" w14:textId="0C1D5053" w:rsidR="00D75EA8" w:rsidRDefault="00434FFE" w:rsidP="00434FFE">
            <w:r w:rsidRPr="005F44E1">
              <w:t>Slide</w:t>
            </w:r>
            <w:r>
              <w:t>-</w:t>
            </w:r>
            <w:r w:rsidRPr="005F44E1">
              <w:t>1</w:t>
            </w:r>
            <w:r>
              <w:t xml:space="preserve"> Figure</w:t>
            </w:r>
            <w:r w:rsidRPr="005F44E1">
              <w:t>:</w:t>
            </w:r>
          </w:p>
          <w:p w14:paraId="4B7A79CA" w14:textId="2557B710" w:rsidR="00434FFE" w:rsidRDefault="00970814" w:rsidP="00434FFE">
            <w:r>
              <w:rPr>
                <w:noProof/>
              </w:rPr>
              <w:drawing>
                <wp:inline distT="0" distB="0" distL="0" distR="0" wp14:anchorId="3116A347" wp14:editId="7114BE11">
                  <wp:extent cx="2160000" cy="137095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stretch>
                            <a:fillRect/>
                          </a:stretch>
                        </pic:blipFill>
                        <pic:spPr>
                          <a:xfrm>
                            <a:off x="0" y="0"/>
                            <a:ext cx="2160000" cy="1370952"/>
                          </a:xfrm>
                          <a:prstGeom prst="rect">
                            <a:avLst/>
                          </a:prstGeom>
                        </pic:spPr>
                      </pic:pic>
                    </a:graphicData>
                  </a:graphic>
                </wp:inline>
              </w:drawing>
            </w:r>
          </w:p>
          <w:p w14:paraId="5D06024B" w14:textId="77777777" w:rsidR="00970814" w:rsidRDefault="00970814" w:rsidP="00434FFE"/>
          <w:p w14:paraId="556A654B" w14:textId="5B9F48E8" w:rsidR="00434FFE" w:rsidRDefault="00434FFE" w:rsidP="00434FFE">
            <w:r>
              <w:t>Slide-1 Text:</w:t>
            </w:r>
          </w:p>
          <w:p w14:paraId="42FAFF55" w14:textId="4193BE3C" w:rsidR="00D75EA8" w:rsidRDefault="00D75EA8" w:rsidP="00434FFE">
            <w:r>
              <w:t>Welcome to the wind tunnel experiment of grouped cylinders. The experiment aims to investigate the aeroelastic interactions and effects in several grouped configuration of cylinders. The case of grouped cylinders is based on the transportation of the wind turbine tower before they are installed in the offshore. For the scope of this virtual tour of the wind tunnel, the grouped cylinder experiment will be limited to the 2-in-line configuration, where two cylinders are placed next to each other in close distance. Different wind directions are performed to address the effect of critical wind direction.</w:t>
            </w:r>
            <w:r w:rsidR="00970814">
              <w:t xml:space="preserve"> </w:t>
            </w:r>
            <w:r w:rsidR="00970814" w:rsidRPr="00E76F2D">
              <w:rPr>
                <w:rStyle w:val="eop"/>
                <w:rFonts w:ascii="Calibri" w:hAnsi="Calibri" w:cs="Calibri"/>
                <w:shd w:val="clear" w:color="auto" w:fill="FFFFFF"/>
              </w:rPr>
              <w:t xml:space="preserve">(Source Figure: </w:t>
            </w:r>
            <w:r w:rsidR="00970814">
              <w:rPr>
                <w:rStyle w:val="eop"/>
                <w:rFonts w:ascii="Calibri" w:hAnsi="Calibri" w:cs="Calibri"/>
                <w:shd w:val="clear" w:color="auto" w:fill="FFFFFF"/>
              </w:rPr>
              <w:t>Energy Tomorrow Blog. 2015. Photo in Article “Making Offshore Operations Even Safer”. Breakingenergy.com. Accessed on 25 September 2022.</w:t>
            </w:r>
            <w:r w:rsidR="00970814" w:rsidRPr="00E76F2D">
              <w:rPr>
                <w:rStyle w:val="eop"/>
                <w:rFonts w:ascii="Calibri" w:hAnsi="Calibri" w:cs="Calibri"/>
                <w:shd w:val="clear" w:color="auto" w:fill="FFFFFF"/>
              </w:rPr>
              <w:t>)</w:t>
            </w:r>
          </w:p>
          <w:p w14:paraId="3F310016" w14:textId="55DD212F" w:rsidR="00D75EA8" w:rsidRDefault="00D75EA8" w:rsidP="00434FFE"/>
          <w:p w14:paraId="1F4EF612" w14:textId="15F8042B" w:rsidR="00D75EA8" w:rsidRDefault="00D75EA8" w:rsidP="00434FFE">
            <w:r>
              <w:t>Slide-2 Figure:</w:t>
            </w:r>
          </w:p>
          <w:p w14:paraId="1D0E5E41" w14:textId="7588A83D" w:rsidR="00D75EA8" w:rsidRDefault="00970814" w:rsidP="00434FFE">
            <w:r>
              <w:rPr>
                <w:noProof/>
              </w:rPr>
              <w:lastRenderedPageBreak/>
              <w:drawing>
                <wp:inline distT="0" distB="0" distL="0" distR="0" wp14:anchorId="16AB1117" wp14:editId="736E116C">
                  <wp:extent cx="2160000" cy="144452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stretch>
                            <a:fillRect/>
                          </a:stretch>
                        </pic:blipFill>
                        <pic:spPr>
                          <a:xfrm>
                            <a:off x="0" y="0"/>
                            <a:ext cx="2160000" cy="1444524"/>
                          </a:xfrm>
                          <a:prstGeom prst="rect">
                            <a:avLst/>
                          </a:prstGeom>
                        </pic:spPr>
                      </pic:pic>
                    </a:graphicData>
                  </a:graphic>
                </wp:inline>
              </w:drawing>
            </w:r>
          </w:p>
          <w:p w14:paraId="44D9FEFA" w14:textId="77777777" w:rsidR="00970814" w:rsidRDefault="00970814" w:rsidP="00434FFE"/>
          <w:p w14:paraId="65F3FE88" w14:textId="07FD5C9D" w:rsidR="00D75EA8" w:rsidRDefault="00D75EA8" w:rsidP="00434FFE">
            <w:r>
              <w:t>Slide-2 Text:</w:t>
            </w:r>
          </w:p>
          <w:p w14:paraId="08EFE4CC" w14:textId="0249CCD1" w:rsidR="00D75EA8" w:rsidRDefault="00C14B73" w:rsidP="00434FFE">
            <w:r>
              <w:t>Atmospheric Boundary Layer profile of the wind flow is experimentally simulated using the castellated barriers, turbulence generators (</w:t>
            </w:r>
            <w:proofErr w:type="spellStart"/>
            <w:r w:rsidRPr="00C14B73">
              <w:t>Counihan</w:t>
            </w:r>
            <w:proofErr w:type="spellEnd"/>
            <w:r w:rsidRPr="00C14B73">
              <w:t xml:space="preserve"> vortex generators</w:t>
            </w:r>
            <w:r>
              <w:t>) and the floor/ground roughness (see the other side of the room). The ABL is simulated under the condition of neutral thermal stratification. The wind profile V(z) profile is referenced to the wind velocity measured by the velocity pressure of the Prandtl Tube. The turbulence intensity profil</w:t>
            </w:r>
            <w:r w:rsidR="004A323F">
              <w:t>e is determined by fitting the equation to the measured value. The wind speed and turbulence intensity profile can be seen in the figure in this slide.</w:t>
            </w:r>
          </w:p>
          <w:p w14:paraId="64432991" w14:textId="16F0D31E" w:rsidR="006524A5" w:rsidRDefault="006524A5" w:rsidP="00434FFE"/>
          <w:p w14:paraId="2FDFF5C6" w14:textId="47DE7CFA" w:rsidR="00473C36" w:rsidRDefault="00473C36" w:rsidP="00434FFE">
            <w:r>
              <w:t>Slide-3 Figure:</w:t>
            </w:r>
          </w:p>
          <w:p w14:paraId="3D6D6FC4" w14:textId="089220C9" w:rsidR="00473C36" w:rsidRDefault="003A183F" w:rsidP="00434FFE">
            <w:r>
              <w:rPr>
                <w:noProof/>
              </w:rPr>
              <w:drawing>
                <wp:inline distT="0" distB="0" distL="0" distR="0" wp14:anchorId="6900799C" wp14:editId="4B1DEC10">
                  <wp:extent cx="1440000" cy="1080675"/>
                  <wp:effectExtent l="825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440000" cy="1080675"/>
                          </a:xfrm>
                          <a:prstGeom prst="rect">
                            <a:avLst/>
                          </a:prstGeom>
                          <a:noFill/>
                          <a:ln>
                            <a:noFill/>
                          </a:ln>
                        </pic:spPr>
                      </pic:pic>
                    </a:graphicData>
                  </a:graphic>
                </wp:inline>
              </w:drawing>
            </w:r>
          </w:p>
          <w:p w14:paraId="72A93EEC" w14:textId="77777777" w:rsidR="00473C36" w:rsidRDefault="00473C36" w:rsidP="00434FFE"/>
          <w:p w14:paraId="0106FED6" w14:textId="3AB79095" w:rsidR="006524A5" w:rsidRDefault="006524A5" w:rsidP="00434FFE">
            <w:r>
              <w:t>Slide-3 Text:</w:t>
            </w:r>
          </w:p>
          <w:p w14:paraId="514D4CD1" w14:textId="7A78FFA7" w:rsidR="006B581D" w:rsidRDefault="006524A5" w:rsidP="00434FFE">
            <w:r>
              <w:t xml:space="preserve">In general, the grouped cylinders experiment is performed such: </w:t>
            </w:r>
            <w:r w:rsidR="006B581D">
              <w:t xml:space="preserve">1. </w:t>
            </w:r>
            <w:r>
              <w:t xml:space="preserve">Designing the experimental setup and </w:t>
            </w:r>
            <w:r w:rsidR="006B581D">
              <w:t>parameters, such as model, structural properties (e.g., mode shape, modal mass, equivalent mass). 2. Manufacturing of the model, installation of the test setup and calibration of the sensors. 3. Validation of structural properties by snap-back or free-decay test. 4. Dynamic test with the given wind flow based on the chosen wind speed variation to be investigated. The test is performed by means of response measurement. 5. Evaluation of the measured response of test structure, for example, the oscillation at the top, lift coefficient, and Strouhal number.</w:t>
            </w:r>
            <w:r w:rsidR="00543EB2">
              <w:t xml:space="preserve"> In this virtual tour, experiments are provided to estimate the critical wind direction between two in-line grouped cylinders.</w:t>
            </w:r>
          </w:p>
          <w:p w14:paraId="20E73D7A" w14:textId="622E2E29" w:rsidR="006B581D" w:rsidRDefault="006B581D" w:rsidP="00434FFE"/>
          <w:p w14:paraId="7502F2B6" w14:textId="177356F3" w:rsidR="00CB3CDD" w:rsidRPr="00110854" w:rsidRDefault="00CB3CDD" w:rsidP="00473C36"/>
        </w:tc>
      </w:tr>
      <w:tr w:rsidR="00C152C8" w:rsidRPr="00110854" w14:paraId="1839F563" w14:textId="77777777" w:rsidTr="00275687">
        <w:tc>
          <w:tcPr>
            <w:tcW w:w="704" w:type="dxa"/>
            <w:shd w:val="clear" w:color="auto" w:fill="FF0000"/>
          </w:tcPr>
          <w:p w14:paraId="5978082C" w14:textId="1A168D35" w:rsidR="00C152C8" w:rsidRPr="00110854" w:rsidRDefault="00C152C8">
            <w:r>
              <w:lastRenderedPageBreak/>
              <w:t>2</w:t>
            </w:r>
          </w:p>
        </w:tc>
        <w:tc>
          <w:tcPr>
            <w:tcW w:w="3969" w:type="dxa"/>
          </w:tcPr>
          <w:p w14:paraId="050E8DC8" w14:textId="3DA95B88" w:rsidR="00C152C8" w:rsidRDefault="00C152C8">
            <w:r>
              <w:t>Delete the two hotspots</w:t>
            </w:r>
          </w:p>
          <w:p w14:paraId="6CDE594C" w14:textId="4B62CAB3" w:rsidR="00C152C8" w:rsidRPr="00110854" w:rsidRDefault="00C152C8">
            <w:r w:rsidRPr="00C152C8">
              <w:rPr>
                <w:noProof/>
              </w:rPr>
              <w:drawing>
                <wp:inline distT="0" distB="0" distL="0" distR="0" wp14:anchorId="2807165C" wp14:editId="56A6E4D7">
                  <wp:extent cx="2160000" cy="149881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1498810"/>
                          </a:xfrm>
                          <a:prstGeom prst="rect">
                            <a:avLst/>
                          </a:prstGeom>
                        </pic:spPr>
                      </pic:pic>
                    </a:graphicData>
                  </a:graphic>
                </wp:inline>
              </w:drawing>
            </w:r>
          </w:p>
        </w:tc>
        <w:tc>
          <w:tcPr>
            <w:tcW w:w="4389" w:type="dxa"/>
          </w:tcPr>
          <w:p w14:paraId="1F3A73EE" w14:textId="77777777" w:rsidR="00C152C8" w:rsidRDefault="00C152C8" w:rsidP="00C152C8">
            <w:r>
              <w:t>Delete the two hotspots, because it will be described in the other scene “WTInside_Cantilever3”</w:t>
            </w:r>
          </w:p>
          <w:p w14:paraId="2914A63B" w14:textId="77777777" w:rsidR="00C152C8" w:rsidRDefault="00C152C8"/>
        </w:tc>
      </w:tr>
      <w:tr w:rsidR="000A077F" w:rsidRPr="00E709CC" w14:paraId="01E155AC" w14:textId="77777777" w:rsidTr="00275687">
        <w:tc>
          <w:tcPr>
            <w:tcW w:w="704" w:type="dxa"/>
            <w:shd w:val="clear" w:color="auto" w:fill="92D050"/>
          </w:tcPr>
          <w:p w14:paraId="6FF5B711" w14:textId="3CA04E86" w:rsidR="000A077F" w:rsidRDefault="000A077F">
            <w:r>
              <w:t>3</w:t>
            </w:r>
          </w:p>
        </w:tc>
        <w:tc>
          <w:tcPr>
            <w:tcW w:w="3969" w:type="dxa"/>
            <w:shd w:val="clear" w:color="auto" w:fill="auto"/>
          </w:tcPr>
          <w:p w14:paraId="3040A193" w14:textId="77777777" w:rsidR="000A077F" w:rsidRDefault="000A077F">
            <w:r>
              <w:t>Hotspot: Ground roughness</w:t>
            </w:r>
          </w:p>
          <w:p w14:paraId="407CF7DE" w14:textId="4020C01C" w:rsidR="000A077F" w:rsidRDefault="000A077F">
            <w:r w:rsidRPr="000A077F">
              <w:rPr>
                <w:noProof/>
              </w:rPr>
              <w:drawing>
                <wp:inline distT="0" distB="0" distL="0" distR="0" wp14:anchorId="4376D082" wp14:editId="073D5BD4">
                  <wp:extent cx="2160000" cy="13735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1373571"/>
                          </a:xfrm>
                          <a:prstGeom prst="rect">
                            <a:avLst/>
                          </a:prstGeom>
                        </pic:spPr>
                      </pic:pic>
                    </a:graphicData>
                  </a:graphic>
                </wp:inline>
              </w:drawing>
            </w:r>
          </w:p>
        </w:tc>
        <w:tc>
          <w:tcPr>
            <w:tcW w:w="4389" w:type="dxa"/>
            <w:shd w:val="clear" w:color="auto" w:fill="auto"/>
          </w:tcPr>
          <w:p w14:paraId="035C6EC4" w14:textId="77777777" w:rsidR="000A077F" w:rsidRDefault="006551B6" w:rsidP="00C152C8">
            <w:proofErr w:type="spellStart"/>
            <w:r>
              <w:t>Slided</w:t>
            </w:r>
            <w:proofErr w:type="spellEnd"/>
            <w:r>
              <w:t xml:space="preserve"> </w:t>
            </w:r>
            <w:proofErr w:type="spellStart"/>
            <w:r>
              <w:t>Figure+text</w:t>
            </w:r>
            <w:proofErr w:type="spellEnd"/>
            <w:r>
              <w:t xml:space="preserve"> (Album):</w:t>
            </w:r>
          </w:p>
          <w:p w14:paraId="2D5670B1" w14:textId="77777777" w:rsidR="006551B6" w:rsidRDefault="006551B6" w:rsidP="00C152C8"/>
          <w:p w14:paraId="24705089" w14:textId="77777777" w:rsidR="006551B6" w:rsidRDefault="006551B6" w:rsidP="00C152C8">
            <w:r>
              <w:t>Slide-1 Figure:</w:t>
            </w:r>
          </w:p>
          <w:p w14:paraId="1E7F66A9" w14:textId="79FAFE73" w:rsidR="006551B6" w:rsidRDefault="002817DC" w:rsidP="00C152C8">
            <w:r>
              <w:rPr>
                <w:noProof/>
              </w:rPr>
              <w:drawing>
                <wp:inline distT="0" distB="0" distL="0" distR="0" wp14:anchorId="2D008A60" wp14:editId="321A2F48">
                  <wp:extent cx="2160000" cy="115571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a:fillRect/>
                          </a:stretch>
                        </pic:blipFill>
                        <pic:spPr>
                          <a:xfrm>
                            <a:off x="0" y="0"/>
                            <a:ext cx="2160000" cy="1155714"/>
                          </a:xfrm>
                          <a:prstGeom prst="rect">
                            <a:avLst/>
                          </a:prstGeom>
                        </pic:spPr>
                      </pic:pic>
                    </a:graphicData>
                  </a:graphic>
                </wp:inline>
              </w:drawing>
            </w:r>
          </w:p>
          <w:p w14:paraId="0BBCA946" w14:textId="77777777" w:rsidR="002817DC" w:rsidRDefault="002817DC" w:rsidP="00C152C8"/>
          <w:p w14:paraId="4FE17BC3" w14:textId="77777777" w:rsidR="006551B6" w:rsidRDefault="006551B6" w:rsidP="00C152C8">
            <w:r>
              <w:t>Slide-1 Text:</w:t>
            </w:r>
          </w:p>
          <w:p w14:paraId="6620E5E4" w14:textId="77777777" w:rsidR="008D32E2" w:rsidRDefault="008D32E2" w:rsidP="00C152C8">
            <w:r>
              <w:t>Why do we need ground roughness?</w:t>
            </w:r>
          </w:p>
          <w:p w14:paraId="5F28503F" w14:textId="08CB926D" w:rsidR="00C564D7" w:rsidRDefault="008D32E2" w:rsidP="00C152C8">
            <w:r>
              <w:t>The ground roughness is used to act as an artificial roughness of the earth. Different terrain roughness on the earth’s surface give effect on the shape of atmospheric boundary layer (ABL). Different shape and profile of ABL gives the different wind load on the structure, as the wind speed along elevation may differs. Rougher terrain roughness gives higher turbulence</w:t>
            </w:r>
            <w:r w:rsidR="00543EB2">
              <w:t xml:space="preserve"> near the ground </w:t>
            </w:r>
            <w:r>
              <w:t xml:space="preserve">in the incoming wind than the flatter roughness. </w:t>
            </w:r>
            <w:r w:rsidR="005035CA">
              <w:t>(Source Figure: TU Braunschweig)</w:t>
            </w:r>
          </w:p>
          <w:p w14:paraId="2CBC7A2B" w14:textId="55A79FEF" w:rsidR="002817DC" w:rsidRDefault="002817DC" w:rsidP="00C152C8"/>
          <w:p w14:paraId="1AAF6546" w14:textId="1B7F9FA9" w:rsidR="002817DC" w:rsidRDefault="002817DC" w:rsidP="00C152C8">
            <w:r>
              <w:t>Slide-2 Figure:</w:t>
            </w:r>
          </w:p>
          <w:p w14:paraId="0A1CE4D9" w14:textId="12DE989B" w:rsidR="002817DC" w:rsidRDefault="002817DC" w:rsidP="00C152C8">
            <w:r>
              <w:rPr>
                <w:noProof/>
              </w:rPr>
              <w:drawing>
                <wp:inline distT="0" distB="0" distL="0" distR="0" wp14:anchorId="00912DF5" wp14:editId="7E3C217B">
                  <wp:extent cx="2160000" cy="1035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stretch>
                            <a:fillRect/>
                          </a:stretch>
                        </pic:blipFill>
                        <pic:spPr>
                          <a:xfrm>
                            <a:off x="0" y="0"/>
                            <a:ext cx="2160000" cy="1035238"/>
                          </a:xfrm>
                          <a:prstGeom prst="rect">
                            <a:avLst/>
                          </a:prstGeom>
                        </pic:spPr>
                      </pic:pic>
                    </a:graphicData>
                  </a:graphic>
                </wp:inline>
              </w:drawing>
            </w:r>
          </w:p>
          <w:p w14:paraId="6AEEA380" w14:textId="77777777" w:rsidR="00C564D7" w:rsidRDefault="00C564D7" w:rsidP="00C152C8"/>
          <w:p w14:paraId="78CCB0E6" w14:textId="0954B2D3" w:rsidR="00C564D7" w:rsidRDefault="005062B9" w:rsidP="00C152C8">
            <w:r>
              <w:t>Slide-2 Text</w:t>
            </w:r>
          </w:p>
          <w:p w14:paraId="37E93F18" w14:textId="662AA7C7" w:rsidR="008D32E2" w:rsidRDefault="008D32E2" w:rsidP="00C152C8">
            <w:r>
              <w:t xml:space="preserve">Further information on the effect of terrain roughness can be </w:t>
            </w:r>
            <w:r w:rsidR="00654922">
              <w:t>informatively</w:t>
            </w:r>
            <w:r>
              <w:t xml:space="preserve"> </w:t>
            </w:r>
            <w:r w:rsidR="00654922">
              <w:t>described</w:t>
            </w:r>
            <w:r>
              <w:t xml:space="preserve"> (but not limited to), </w:t>
            </w:r>
            <w:r w:rsidR="00654922">
              <w:t>by t</w:t>
            </w:r>
            <w:r>
              <w:t>he Eurocode standard on wind action (EN-1991-1-4).</w:t>
            </w:r>
            <w:r w:rsidR="00654922">
              <w:t xml:space="preserve"> Please note that the figure shown is used for informative purpose of this virtual tour. The analysis of ABL referring to Eurocode has to consider the national annex.</w:t>
            </w:r>
            <w:r w:rsidR="005035CA">
              <w:t xml:space="preserve"> (Source Figure: EN-1991-1-4:2005 and DIN EN-1991-1-4/NA:2010)</w:t>
            </w:r>
          </w:p>
          <w:p w14:paraId="7BDB1E8C" w14:textId="77777777" w:rsidR="008D32E2" w:rsidRDefault="008D32E2" w:rsidP="00C152C8"/>
          <w:p w14:paraId="439D695A" w14:textId="434B819F" w:rsidR="008D32E2" w:rsidRDefault="008D32E2" w:rsidP="00C152C8">
            <w:r>
              <w:t>Slide-</w:t>
            </w:r>
            <w:r w:rsidR="005062B9">
              <w:t>3</w:t>
            </w:r>
            <w:r>
              <w:t xml:space="preserve"> Figure:</w:t>
            </w:r>
          </w:p>
          <w:p w14:paraId="42B89AB6" w14:textId="7F160047" w:rsidR="004A5915" w:rsidRDefault="004A5915" w:rsidP="00C152C8">
            <w:r>
              <w:rPr>
                <w:noProof/>
              </w:rPr>
              <w:lastRenderedPageBreak/>
              <w:drawing>
                <wp:inline distT="0" distB="0" distL="0" distR="0" wp14:anchorId="0A159C35" wp14:editId="438204B9">
                  <wp:extent cx="2160000" cy="124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stretch>
                            <a:fillRect/>
                          </a:stretch>
                        </pic:blipFill>
                        <pic:spPr>
                          <a:xfrm>
                            <a:off x="0" y="0"/>
                            <a:ext cx="2160000" cy="1240000"/>
                          </a:xfrm>
                          <a:prstGeom prst="rect">
                            <a:avLst/>
                          </a:prstGeom>
                        </pic:spPr>
                      </pic:pic>
                    </a:graphicData>
                  </a:graphic>
                </wp:inline>
              </w:drawing>
            </w:r>
          </w:p>
          <w:p w14:paraId="033969ED" w14:textId="77777777" w:rsidR="008D32E2" w:rsidRDefault="008D32E2" w:rsidP="00C152C8"/>
          <w:p w14:paraId="6C151ADC" w14:textId="563DDD83" w:rsidR="008D32E2" w:rsidRDefault="008D32E2" w:rsidP="00C152C8">
            <w:r>
              <w:t>Slide-</w:t>
            </w:r>
            <w:r w:rsidR="005062B9">
              <w:t>3</w:t>
            </w:r>
            <w:r w:rsidR="001638C0">
              <w:t xml:space="preserve"> </w:t>
            </w:r>
            <w:r>
              <w:t>Text:</w:t>
            </w:r>
          </w:p>
          <w:p w14:paraId="4DB56F6D" w14:textId="243F9A7D" w:rsidR="00C564D7" w:rsidRDefault="008D32E2" w:rsidP="00C152C8">
            <w:r>
              <w:t xml:space="preserve">The actual profile that is experimentally generated by the wind tunnel depends not only on the ground roughness, but also on the former components of the </w:t>
            </w:r>
            <w:proofErr w:type="spellStart"/>
            <w:r>
              <w:t>Counihan</w:t>
            </w:r>
            <w:proofErr w:type="spellEnd"/>
            <w:r>
              <w:t xml:space="preserve"> </w:t>
            </w:r>
            <w:r w:rsidR="005D1456">
              <w:t>method</w:t>
            </w:r>
            <w:r>
              <w:t xml:space="preserve">, i.e., castellated barrier and vortex/turbulence generator. Therefore, it is important to know the wind profile that occurs in the wind tunnel. </w:t>
            </w:r>
            <w:r w:rsidR="00654922">
              <w:t>Usually, in the beginning of wind tunnel experiment campaign, validation of wind profile is performed by measuring the wind speed along the height of the wind tunnel.</w:t>
            </w:r>
            <w:r w:rsidR="005035CA">
              <w:t xml:space="preserve"> (Source Figure: </w:t>
            </w:r>
            <w:proofErr w:type="spellStart"/>
            <w:r w:rsidR="005035CA">
              <w:t>Kipsch</w:t>
            </w:r>
            <w:proofErr w:type="spellEnd"/>
            <w:r w:rsidR="005035CA">
              <w:t>, 2010)</w:t>
            </w:r>
          </w:p>
          <w:p w14:paraId="13BC55F9" w14:textId="6DFC02FF" w:rsidR="00C564D7" w:rsidRDefault="00C564D7" w:rsidP="00C152C8"/>
          <w:p w14:paraId="780BF003" w14:textId="08F6441A" w:rsidR="004A5915" w:rsidRDefault="004A5915" w:rsidP="00C152C8">
            <w:r>
              <w:t>Slide-4 Figure:</w:t>
            </w:r>
          </w:p>
          <w:p w14:paraId="6A9F5B74" w14:textId="7DBB24D2" w:rsidR="004A5915" w:rsidRDefault="004A5915" w:rsidP="00C152C8">
            <w:r>
              <w:rPr>
                <w:noProof/>
              </w:rPr>
              <w:drawing>
                <wp:inline distT="0" distB="0" distL="0" distR="0" wp14:anchorId="0F80993C" wp14:editId="3D9C8D97">
                  <wp:extent cx="2160000" cy="117238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stretch>
                            <a:fillRect/>
                          </a:stretch>
                        </pic:blipFill>
                        <pic:spPr>
                          <a:xfrm>
                            <a:off x="0" y="0"/>
                            <a:ext cx="2160000" cy="1172381"/>
                          </a:xfrm>
                          <a:prstGeom prst="rect">
                            <a:avLst/>
                          </a:prstGeom>
                        </pic:spPr>
                      </pic:pic>
                    </a:graphicData>
                  </a:graphic>
                </wp:inline>
              </w:drawing>
            </w:r>
          </w:p>
          <w:p w14:paraId="3A226CF6" w14:textId="77777777" w:rsidR="004A5915" w:rsidRDefault="004A5915" w:rsidP="00C152C8"/>
          <w:p w14:paraId="5BF4E770" w14:textId="3DB4BE32" w:rsidR="00C564D7" w:rsidRDefault="005062B9" w:rsidP="00C152C8">
            <w:r>
              <w:t>Slide-4 Text</w:t>
            </w:r>
            <w:r w:rsidR="00175849">
              <w:t>:</w:t>
            </w:r>
          </w:p>
          <w:p w14:paraId="22A0533C" w14:textId="435586B8" w:rsidR="008D32E2" w:rsidRDefault="008D32E2" w:rsidP="00C152C8">
            <w:r>
              <w:t xml:space="preserve">In the </w:t>
            </w:r>
            <w:proofErr w:type="spellStart"/>
            <w:r>
              <w:t>WISt</w:t>
            </w:r>
            <w:proofErr w:type="spellEnd"/>
            <w:r>
              <w:t xml:space="preserve"> Wind Tunnel of Ruhr-Universit</w:t>
            </w:r>
            <w:r w:rsidR="00CA3D78">
              <w:t xml:space="preserve">ät </w:t>
            </w:r>
            <w:r>
              <w:t xml:space="preserve">Bochum, one of the </w:t>
            </w:r>
            <w:r w:rsidR="005D1456">
              <w:t xml:space="preserve">configurations of </w:t>
            </w:r>
            <w:proofErr w:type="spellStart"/>
            <w:r w:rsidR="005D1456">
              <w:t>Counihan</w:t>
            </w:r>
            <w:proofErr w:type="spellEnd"/>
            <w:r w:rsidR="005D1456">
              <w:t xml:space="preserve"> method</w:t>
            </w:r>
            <w:r>
              <w:t xml:space="preserve"> can produce </w:t>
            </w:r>
            <w:r w:rsidR="00127CA8">
              <w:t>such wind</w:t>
            </w:r>
            <w:r>
              <w:t xml:space="preserve"> profile, as seen in the figure. </w:t>
            </w:r>
            <w:r w:rsidR="00654922">
              <w:t>The measured wind speed can also be analyzed by its spectra</w:t>
            </w:r>
            <w:r w:rsidR="005062B9">
              <w:t xml:space="preserve"> where Von Karman spectrum can be observed. This is an important parameter to characterize the incoming</w:t>
            </w:r>
            <w:r w:rsidR="00A96566">
              <w:t xml:space="preserve"> longitudinal</w:t>
            </w:r>
            <w:r w:rsidR="005062B9">
              <w:t xml:space="preserve"> wind speed and to estimate the length scale of the incoming vortices. For </w:t>
            </w:r>
            <w:r w:rsidR="00175849">
              <w:t>example,</w:t>
            </w:r>
            <w:r w:rsidR="005062B9">
              <w:t xml:space="preserve"> of the spectrum shown in figure, it can give an information about most-dominant vortices’ frequency range referred by the peak of Von Karman spectrum.</w:t>
            </w:r>
            <w:r w:rsidR="005035CA">
              <w:t xml:space="preserve"> (Source Figure: </w:t>
            </w:r>
            <w:proofErr w:type="spellStart"/>
            <w:r w:rsidR="005035CA">
              <w:t>Hemida</w:t>
            </w:r>
            <w:proofErr w:type="spellEnd"/>
            <w:r w:rsidR="005035CA">
              <w:t xml:space="preserve"> et al., </w:t>
            </w:r>
            <w:r w:rsidR="00456BB1">
              <w:t>2020)</w:t>
            </w:r>
          </w:p>
          <w:p w14:paraId="380B69CD" w14:textId="28E6B5E4" w:rsidR="00E27C63" w:rsidRDefault="00E27C63" w:rsidP="00C152C8"/>
          <w:p w14:paraId="35DCAC31" w14:textId="37088D91" w:rsidR="00E27C63" w:rsidRDefault="00E27C63" w:rsidP="00C152C8">
            <w:r>
              <w:t>Slide-5 Text:</w:t>
            </w:r>
          </w:p>
          <w:p w14:paraId="5E2BD634" w14:textId="6327592F" w:rsidR="00E27C63" w:rsidRDefault="00E27C63" w:rsidP="00C152C8">
            <w:r>
              <w:t>Reference:</w:t>
            </w:r>
          </w:p>
          <w:p w14:paraId="779538F0" w14:textId="090DBAFB" w:rsidR="00E27C63" w:rsidRPr="00CA3D78" w:rsidRDefault="00CD0F55" w:rsidP="00C152C8">
            <w:pPr>
              <w:rPr>
                <w:rFonts w:cstheme="minorHAnsi"/>
              </w:rPr>
            </w:pPr>
            <w:r w:rsidRPr="00CA3D78">
              <w:rPr>
                <w:rFonts w:cstheme="minorHAnsi"/>
              </w:rPr>
              <w:t xml:space="preserve">[1] </w:t>
            </w:r>
            <w:r w:rsidR="001638C0" w:rsidRPr="00CA3D78">
              <w:rPr>
                <w:rFonts w:cstheme="minorHAnsi"/>
              </w:rPr>
              <w:t xml:space="preserve">TU Braunschweig. </w:t>
            </w:r>
            <w:proofErr w:type="spellStart"/>
            <w:r w:rsidR="001638C0" w:rsidRPr="00CA3D78">
              <w:rPr>
                <w:rFonts w:cstheme="minorHAnsi"/>
                <w:i/>
                <w:iCs/>
              </w:rPr>
              <w:t>Windingenieurwesen</w:t>
            </w:r>
            <w:proofErr w:type="spellEnd"/>
            <w:r w:rsidR="001638C0" w:rsidRPr="00CA3D78">
              <w:rPr>
                <w:rFonts w:cstheme="minorHAnsi"/>
                <w:i/>
                <w:iCs/>
              </w:rPr>
              <w:t xml:space="preserve"> und </w:t>
            </w:r>
            <w:proofErr w:type="spellStart"/>
            <w:r w:rsidR="001638C0" w:rsidRPr="00CA3D78">
              <w:rPr>
                <w:rFonts w:cstheme="minorHAnsi"/>
                <w:i/>
                <w:iCs/>
              </w:rPr>
              <w:t>Bauwerksdynamik</w:t>
            </w:r>
            <w:proofErr w:type="spellEnd"/>
            <w:r w:rsidR="001638C0" w:rsidRPr="00CA3D78">
              <w:rPr>
                <w:rFonts w:cstheme="minorHAnsi"/>
              </w:rPr>
              <w:t xml:space="preserve">, accessed on 2 October 2022. </w:t>
            </w:r>
            <w:hyperlink r:id="rId19" w:history="1">
              <w:r w:rsidR="001638C0" w:rsidRPr="00CA3D78">
                <w:rPr>
                  <w:rStyle w:val="Hyperlink"/>
                  <w:rFonts w:cstheme="minorHAnsi"/>
                </w:rPr>
                <w:t>https://www.stahlbau.tu-braunschweig.de/index.php/de/menu-forschung-de/menu-forschungsgebiete-de/menu-windingenieurwesen-de</w:t>
              </w:r>
            </w:hyperlink>
          </w:p>
          <w:p w14:paraId="476D4C45" w14:textId="739149F0" w:rsidR="001638C0" w:rsidRDefault="001638C0" w:rsidP="001638C0">
            <w:pPr>
              <w:rPr>
                <w:rFonts w:cstheme="minorHAnsi"/>
                <w:lang w:val="de-DE"/>
              </w:rPr>
            </w:pPr>
            <w:r w:rsidRPr="001638C0">
              <w:rPr>
                <w:rFonts w:cstheme="minorHAnsi"/>
              </w:rPr>
              <w:lastRenderedPageBreak/>
              <w:t>[</w:t>
            </w:r>
            <w:r>
              <w:rPr>
                <w:rFonts w:cstheme="minorHAnsi"/>
              </w:rPr>
              <w:t>2</w:t>
            </w:r>
            <w:r w:rsidRPr="001638C0">
              <w:rPr>
                <w:rFonts w:cstheme="minorHAnsi"/>
              </w:rPr>
              <w:t>] Eurocode 1 EN 1991-1-4:2005</w:t>
            </w:r>
            <w:r>
              <w:rPr>
                <w:rFonts w:cstheme="minorHAnsi"/>
              </w:rPr>
              <w:t>:</w:t>
            </w:r>
            <w:r w:rsidRPr="001638C0">
              <w:rPr>
                <w:rFonts w:cstheme="minorHAnsi"/>
              </w:rPr>
              <w:t xml:space="preserve"> </w:t>
            </w:r>
            <w:r>
              <w:rPr>
                <w:rFonts w:cstheme="minorHAnsi"/>
              </w:rPr>
              <w:t>“</w:t>
            </w:r>
            <w:r w:rsidRPr="001638C0">
              <w:rPr>
                <w:rFonts w:cstheme="minorHAnsi"/>
              </w:rPr>
              <w:t>Actions on structures - Part 1-4: General</w:t>
            </w:r>
            <w:r>
              <w:rPr>
                <w:rFonts w:cstheme="minorHAnsi"/>
              </w:rPr>
              <w:t xml:space="preserve"> </w:t>
            </w:r>
            <w:r w:rsidRPr="001638C0">
              <w:rPr>
                <w:rFonts w:cstheme="minorHAnsi"/>
              </w:rPr>
              <w:t>actions -</w:t>
            </w:r>
            <w:r>
              <w:rPr>
                <w:rFonts w:cstheme="minorHAnsi"/>
              </w:rPr>
              <w:t xml:space="preserve"> </w:t>
            </w:r>
            <w:r w:rsidRPr="001638C0">
              <w:rPr>
                <w:rFonts w:cstheme="minorHAnsi"/>
              </w:rPr>
              <w:t xml:space="preserve">Wind actions". </w:t>
            </w:r>
            <w:r w:rsidRPr="00CA3D78">
              <w:rPr>
                <w:rFonts w:cstheme="minorHAnsi"/>
                <w:lang w:val="de-DE"/>
              </w:rPr>
              <w:t xml:space="preserve">English Version. </w:t>
            </w:r>
            <w:r w:rsidRPr="001638C0">
              <w:rPr>
                <w:rFonts w:cstheme="minorHAnsi"/>
                <w:lang w:val="de-DE"/>
              </w:rPr>
              <w:t>2010.</w:t>
            </w:r>
          </w:p>
          <w:p w14:paraId="344DDF1E" w14:textId="1ABEFFEF" w:rsidR="001638C0" w:rsidRDefault="001638C0" w:rsidP="001638C0">
            <w:pPr>
              <w:rPr>
                <w:rFonts w:cstheme="minorHAnsi"/>
                <w:lang w:val="de-DE"/>
              </w:rPr>
            </w:pPr>
            <w:r w:rsidRPr="001638C0">
              <w:rPr>
                <w:rFonts w:cstheme="minorHAnsi"/>
                <w:lang w:val="de-DE"/>
              </w:rPr>
              <w:t xml:space="preserve">[3] DIN EN 1991-1-4/NA:2010-12: </w:t>
            </w:r>
            <w:r>
              <w:rPr>
                <w:rFonts w:cstheme="minorHAnsi"/>
                <w:lang w:val="de-DE"/>
              </w:rPr>
              <w:t>„</w:t>
            </w:r>
            <w:r w:rsidRPr="001638C0">
              <w:rPr>
                <w:rFonts w:cstheme="minorHAnsi"/>
                <w:lang w:val="de-DE"/>
              </w:rPr>
              <w:t>Nationaler Anhang – National festgelegte Parameter – Eurocode 1:Einwirkungen auf Tragwerke – Teil 1-4: Allgemeine Einwirkungen – Windlasten</w:t>
            </w:r>
            <w:r>
              <w:rPr>
                <w:rFonts w:cstheme="minorHAnsi"/>
                <w:lang w:val="de-DE"/>
              </w:rPr>
              <w:t>“</w:t>
            </w:r>
            <w:r w:rsidRPr="001638C0">
              <w:rPr>
                <w:rFonts w:cstheme="minorHAnsi"/>
                <w:lang w:val="de-DE"/>
              </w:rPr>
              <w:t>,</w:t>
            </w:r>
            <w:r>
              <w:rPr>
                <w:rFonts w:cstheme="minorHAnsi"/>
                <w:lang w:val="de-DE"/>
              </w:rPr>
              <w:t xml:space="preserve"> </w:t>
            </w:r>
            <w:r w:rsidRPr="001638C0">
              <w:rPr>
                <w:rFonts w:cstheme="minorHAnsi"/>
                <w:lang w:val="de-DE"/>
              </w:rPr>
              <w:t>2010.</w:t>
            </w:r>
          </w:p>
          <w:p w14:paraId="2C6D45A6" w14:textId="68B68E6B" w:rsidR="00E709CC" w:rsidRPr="00AB017B" w:rsidRDefault="00E709CC" w:rsidP="001638C0">
            <w:pPr>
              <w:rPr>
                <w:rFonts w:cstheme="minorHAnsi"/>
              </w:rPr>
            </w:pPr>
            <w:r w:rsidRPr="001638C0">
              <w:rPr>
                <w:rFonts w:cstheme="minorHAnsi"/>
                <w:lang w:val="de-DE"/>
              </w:rPr>
              <w:t>[</w:t>
            </w:r>
            <w:r>
              <w:rPr>
                <w:rFonts w:cstheme="minorHAnsi"/>
                <w:lang w:val="de-DE"/>
              </w:rPr>
              <w:t>4</w:t>
            </w:r>
            <w:r w:rsidRPr="001638C0">
              <w:rPr>
                <w:rFonts w:cstheme="minorHAnsi"/>
                <w:lang w:val="de-DE"/>
              </w:rPr>
              <w:t>]</w:t>
            </w:r>
            <w:r>
              <w:rPr>
                <w:rFonts w:cstheme="minorHAnsi"/>
                <w:lang w:val="de-DE"/>
              </w:rPr>
              <w:t xml:space="preserve"> </w:t>
            </w:r>
            <w:r>
              <w:rPr>
                <w:rFonts w:ascii="Calibri" w:hAnsi="Calibri" w:cs="Calibri"/>
                <w:lang w:val="de-DE"/>
              </w:rPr>
              <w:t>F. Kipsch</w:t>
            </w:r>
            <w:r w:rsidRPr="00E709CC">
              <w:rPr>
                <w:rFonts w:ascii="Calibri" w:hAnsi="Calibri" w:cs="Calibri"/>
                <w:lang w:val="de-DE"/>
              </w:rPr>
              <w:t xml:space="preserve">. </w:t>
            </w:r>
            <w:r>
              <w:rPr>
                <w:rFonts w:ascii="Calibri" w:hAnsi="Calibri" w:cs="Calibri"/>
                <w:lang w:val="de-DE"/>
              </w:rPr>
              <w:t>2010</w:t>
            </w:r>
            <w:r w:rsidRPr="00E709CC">
              <w:rPr>
                <w:rFonts w:ascii="Calibri" w:hAnsi="Calibri" w:cs="Calibri"/>
                <w:lang w:val="de-DE"/>
              </w:rPr>
              <w:t>. Geschwindigkeits-und Druckmessmethoden für Modellversuche der Ge</w:t>
            </w:r>
            <w:r>
              <w:rPr>
                <w:rFonts w:ascii="Calibri" w:hAnsi="Calibri" w:cs="Calibri"/>
                <w:lang w:val="de-DE"/>
              </w:rPr>
              <w:t xml:space="preserve">bäudeaerodynamik im Grenzschichtwindkanal. </w:t>
            </w:r>
            <w:r w:rsidRPr="00AB017B">
              <w:rPr>
                <w:rFonts w:ascii="Calibri" w:hAnsi="Calibri" w:cs="Calibri"/>
              </w:rPr>
              <w:t>Ruhr-Universi</w:t>
            </w:r>
            <w:r w:rsidR="001C5BEA" w:rsidRPr="00AB017B">
              <w:rPr>
                <w:rFonts w:ascii="Calibri" w:hAnsi="Calibri" w:cs="Calibri"/>
              </w:rPr>
              <w:t>tät</w:t>
            </w:r>
            <w:r w:rsidRPr="00AB017B">
              <w:rPr>
                <w:rFonts w:ascii="Calibri" w:hAnsi="Calibri" w:cs="Calibri"/>
              </w:rPr>
              <w:t xml:space="preserve"> Bochum.</w:t>
            </w:r>
          </w:p>
          <w:p w14:paraId="39B40BFE" w14:textId="78E4E4EE" w:rsidR="00E709CC" w:rsidRDefault="00E709CC" w:rsidP="001638C0">
            <w:pPr>
              <w:rPr>
                <w:rFonts w:cstheme="minorHAnsi"/>
              </w:rPr>
            </w:pPr>
            <w:r w:rsidRPr="00AB017B">
              <w:rPr>
                <w:rFonts w:cstheme="minorHAnsi"/>
              </w:rPr>
              <w:t xml:space="preserve">[5] H. </w:t>
            </w:r>
            <w:proofErr w:type="spellStart"/>
            <w:r w:rsidRPr="00AB017B">
              <w:rPr>
                <w:rFonts w:cstheme="minorHAnsi"/>
              </w:rPr>
              <w:t>Hemida</w:t>
            </w:r>
            <w:proofErr w:type="spellEnd"/>
            <w:r w:rsidRPr="00AB017B">
              <w:rPr>
                <w:rFonts w:cstheme="minorHAnsi"/>
              </w:rPr>
              <w:t xml:space="preserve">, A. S. </w:t>
            </w:r>
            <w:proofErr w:type="spellStart"/>
            <w:r w:rsidRPr="00AB017B">
              <w:rPr>
                <w:rFonts w:cstheme="minorHAnsi"/>
              </w:rPr>
              <w:t>Glumac</w:t>
            </w:r>
            <w:proofErr w:type="spellEnd"/>
            <w:r w:rsidRPr="00AB017B">
              <w:rPr>
                <w:rFonts w:cstheme="minorHAnsi"/>
              </w:rPr>
              <w:t xml:space="preserve">, G. Vita, K. K. </w:t>
            </w:r>
            <w:proofErr w:type="spellStart"/>
            <w:r w:rsidRPr="00AB017B">
              <w:rPr>
                <w:rFonts w:cstheme="minorHAnsi"/>
              </w:rPr>
              <w:t>Vranesevic</w:t>
            </w:r>
            <w:proofErr w:type="spellEnd"/>
            <w:r w:rsidRPr="00AB017B">
              <w:rPr>
                <w:rFonts w:cstheme="minorHAnsi"/>
              </w:rPr>
              <w:t xml:space="preserve">, R. Höffer. 2020. </w:t>
            </w:r>
            <w:r>
              <w:rPr>
                <w:rFonts w:cstheme="minorHAnsi"/>
              </w:rPr>
              <w:t>On the flow over high-rise building for wind energy harvesting: An experimental investigation of wind speed and surface pressure. Journal Applied Science, Vol. 10 Issue 15 5283.</w:t>
            </w:r>
          </w:p>
          <w:p w14:paraId="3989B93A" w14:textId="4AEB233F" w:rsidR="00E709CC" w:rsidRPr="00E709CC" w:rsidRDefault="00E709CC" w:rsidP="001638C0">
            <w:pPr>
              <w:rPr>
                <w:rFonts w:cstheme="minorHAnsi"/>
              </w:rPr>
            </w:pPr>
            <w:r>
              <w:rPr>
                <w:rFonts w:cstheme="minorHAnsi"/>
              </w:rPr>
              <w:t xml:space="preserve"> </w:t>
            </w:r>
          </w:p>
          <w:p w14:paraId="63E61811" w14:textId="77777777" w:rsidR="001638C0" w:rsidRPr="00E709CC" w:rsidRDefault="001638C0" w:rsidP="001638C0"/>
          <w:p w14:paraId="153DE0AF" w14:textId="00B45EAA" w:rsidR="008D32E2" w:rsidRPr="00E709CC" w:rsidRDefault="008D32E2" w:rsidP="00C152C8"/>
        </w:tc>
      </w:tr>
      <w:tr w:rsidR="006709C7" w:rsidRPr="00110854" w14:paraId="7744B3A8" w14:textId="77777777" w:rsidTr="00275687">
        <w:tc>
          <w:tcPr>
            <w:tcW w:w="704" w:type="dxa"/>
            <w:shd w:val="clear" w:color="auto" w:fill="92D050"/>
          </w:tcPr>
          <w:p w14:paraId="0FBC314E" w14:textId="58E2F1C7" w:rsidR="006709C7" w:rsidRDefault="006709C7">
            <w:r>
              <w:lastRenderedPageBreak/>
              <w:t>4</w:t>
            </w:r>
            <w:bookmarkStart w:id="0" w:name="_GoBack"/>
            <w:bookmarkEnd w:id="0"/>
          </w:p>
        </w:tc>
        <w:tc>
          <w:tcPr>
            <w:tcW w:w="3969" w:type="dxa"/>
            <w:shd w:val="clear" w:color="auto" w:fill="auto"/>
          </w:tcPr>
          <w:p w14:paraId="3791DF1E" w14:textId="77777777" w:rsidR="006709C7" w:rsidRDefault="006709C7">
            <w:r>
              <w:t xml:space="preserve">Hotspot: Short introduction about </w:t>
            </w:r>
            <w:proofErr w:type="spellStart"/>
            <w:r>
              <w:t>Counihan</w:t>
            </w:r>
            <w:proofErr w:type="spellEnd"/>
            <w:r>
              <w:t xml:space="preserve"> Hardware</w:t>
            </w:r>
          </w:p>
          <w:p w14:paraId="41BC36A8" w14:textId="662AFD53" w:rsidR="006709C7" w:rsidRDefault="006709C7">
            <w:r w:rsidRPr="006709C7">
              <w:rPr>
                <w:noProof/>
              </w:rPr>
              <w:drawing>
                <wp:inline distT="0" distB="0" distL="0" distR="0" wp14:anchorId="1A45498C" wp14:editId="643A1BDF">
                  <wp:extent cx="2160000" cy="14654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0000" cy="1465476"/>
                          </a:xfrm>
                          <a:prstGeom prst="rect">
                            <a:avLst/>
                          </a:prstGeom>
                        </pic:spPr>
                      </pic:pic>
                    </a:graphicData>
                  </a:graphic>
                </wp:inline>
              </w:drawing>
            </w:r>
          </w:p>
        </w:tc>
        <w:tc>
          <w:tcPr>
            <w:tcW w:w="4389" w:type="dxa"/>
            <w:shd w:val="clear" w:color="auto" w:fill="auto"/>
          </w:tcPr>
          <w:p w14:paraId="525E5C66" w14:textId="77777777" w:rsidR="006709C7" w:rsidRDefault="006709C7" w:rsidP="00C152C8">
            <w:r>
              <w:t>Text only:</w:t>
            </w:r>
          </w:p>
          <w:p w14:paraId="1C4D4F2B" w14:textId="77777777" w:rsidR="006709C7" w:rsidRDefault="006709C7" w:rsidP="00C152C8"/>
          <w:p w14:paraId="6C89A325" w14:textId="5F18C051" w:rsidR="006709C7" w:rsidRDefault="006709C7" w:rsidP="00C152C8">
            <w:r>
              <w:t xml:space="preserve">“In the inlet side of the wind tunnel chamber, a </w:t>
            </w:r>
            <w:proofErr w:type="spellStart"/>
            <w:r>
              <w:t>Counihan</w:t>
            </w:r>
            <w:proofErr w:type="spellEnd"/>
            <w:r>
              <w:t xml:space="preserve"> Hardware is installed. </w:t>
            </w:r>
            <w:proofErr w:type="spellStart"/>
            <w:r>
              <w:t>Counihan</w:t>
            </w:r>
            <w:proofErr w:type="spellEnd"/>
            <w:r>
              <w:t xml:space="preserve"> Hardware or </w:t>
            </w:r>
            <w:proofErr w:type="spellStart"/>
            <w:r>
              <w:t>Counihan</w:t>
            </w:r>
            <w:proofErr w:type="spellEnd"/>
            <w:r>
              <w:t xml:space="preserve"> method is a common practice and to model the atmospheric boundary layer (ABL) in the wind tunnel. The </w:t>
            </w:r>
            <w:proofErr w:type="spellStart"/>
            <w:r>
              <w:t>Counihan</w:t>
            </w:r>
            <w:proofErr w:type="spellEnd"/>
            <w:r>
              <w:t xml:space="preserve"> method dates back to 1969 when it </w:t>
            </w:r>
            <w:r w:rsidR="002C2243">
              <w:t>was</w:t>
            </w:r>
            <w:r>
              <w:t xml:space="preserve"> firstly introduced. It consists of three main parts: castellated barriers, </w:t>
            </w:r>
            <w:proofErr w:type="spellStart"/>
            <w:r>
              <w:t>counihan</w:t>
            </w:r>
            <w:proofErr w:type="spellEnd"/>
            <w:r>
              <w:t xml:space="preserve"> vortex generator, and the ground roughness. The generated ABL which </w:t>
            </w:r>
            <w:r w:rsidR="007D6620">
              <w:t>considers</w:t>
            </w:r>
            <w:r>
              <w:t xml:space="preserve"> the terrain roughness, depends on the design of the castellated barrier, the height and shape of the </w:t>
            </w:r>
            <w:proofErr w:type="spellStart"/>
            <w:r>
              <w:t>counihan</w:t>
            </w:r>
            <w:proofErr w:type="spellEnd"/>
            <w:r>
              <w:t xml:space="preserve"> vortex generator, and the distribution of ground roughness. Further information on each of the component is provided when you move closer to the inlet.”</w:t>
            </w:r>
          </w:p>
        </w:tc>
      </w:tr>
    </w:tbl>
    <w:p w14:paraId="0114BB36" w14:textId="77777777" w:rsidR="00BC16CF" w:rsidRPr="00110854" w:rsidRDefault="00BC16CF"/>
    <w:sectPr w:rsidR="00BC16CF" w:rsidRPr="00110854" w:rsidSect="00D13369">
      <w:pgSz w:w="11906" w:h="16838"/>
      <w:pgMar w:top="1417" w:right="1417" w:bottom="142"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4BF57" w14:textId="77777777" w:rsidR="009A7D0E" w:rsidRDefault="009A7D0E" w:rsidP="007930D9">
      <w:pPr>
        <w:spacing w:after="0" w:line="240" w:lineRule="auto"/>
      </w:pPr>
      <w:r>
        <w:separator/>
      </w:r>
    </w:p>
  </w:endnote>
  <w:endnote w:type="continuationSeparator" w:id="0">
    <w:p w14:paraId="6206DE6E" w14:textId="77777777" w:rsidR="009A7D0E" w:rsidRDefault="009A7D0E" w:rsidP="00793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7CD731" w14:textId="77777777" w:rsidR="009A7D0E" w:rsidRDefault="009A7D0E" w:rsidP="007930D9">
      <w:pPr>
        <w:spacing w:after="0" w:line="240" w:lineRule="auto"/>
      </w:pPr>
      <w:r>
        <w:separator/>
      </w:r>
    </w:p>
  </w:footnote>
  <w:footnote w:type="continuationSeparator" w:id="0">
    <w:p w14:paraId="004C958B" w14:textId="77777777" w:rsidR="009A7D0E" w:rsidRDefault="009A7D0E" w:rsidP="00793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F0467"/>
    <w:multiLevelType w:val="hybridMultilevel"/>
    <w:tmpl w:val="FE1A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C03"/>
    <w:rsid w:val="00021FFD"/>
    <w:rsid w:val="0005771A"/>
    <w:rsid w:val="000A077F"/>
    <w:rsid w:val="000C26D0"/>
    <w:rsid w:val="000C6172"/>
    <w:rsid w:val="000D6634"/>
    <w:rsid w:val="000E688B"/>
    <w:rsid w:val="00110854"/>
    <w:rsid w:val="00127CA8"/>
    <w:rsid w:val="00132FAA"/>
    <w:rsid w:val="001335D1"/>
    <w:rsid w:val="00155AB1"/>
    <w:rsid w:val="001638C0"/>
    <w:rsid w:val="00175849"/>
    <w:rsid w:val="00181784"/>
    <w:rsid w:val="001C4940"/>
    <w:rsid w:val="001C5BEA"/>
    <w:rsid w:val="001E4133"/>
    <w:rsid w:val="00206E92"/>
    <w:rsid w:val="00211C03"/>
    <w:rsid w:val="00211D61"/>
    <w:rsid w:val="00267717"/>
    <w:rsid w:val="002721DF"/>
    <w:rsid w:val="00275687"/>
    <w:rsid w:val="00280971"/>
    <w:rsid w:val="00280EAF"/>
    <w:rsid w:val="002817DC"/>
    <w:rsid w:val="002C2243"/>
    <w:rsid w:val="002C6ADE"/>
    <w:rsid w:val="00310CDC"/>
    <w:rsid w:val="00322184"/>
    <w:rsid w:val="003736CF"/>
    <w:rsid w:val="00374F0A"/>
    <w:rsid w:val="003A183F"/>
    <w:rsid w:val="003F2CAC"/>
    <w:rsid w:val="00404F0E"/>
    <w:rsid w:val="0041229F"/>
    <w:rsid w:val="00425395"/>
    <w:rsid w:val="00434FFE"/>
    <w:rsid w:val="00437681"/>
    <w:rsid w:val="004417D4"/>
    <w:rsid w:val="00456BB1"/>
    <w:rsid w:val="00471CC8"/>
    <w:rsid w:val="00473C36"/>
    <w:rsid w:val="004A323F"/>
    <w:rsid w:val="004A5915"/>
    <w:rsid w:val="005035CA"/>
    <w:rsid w:val="005062B9"/>
    <w:rsid w:val="00543EB2"/>
    <w:rsid w:val="005617BF"/>
    <w:rsid w:val="005D1456"/>
    <w:rsid w:val="006139E2"/>
    <w:rsid w:val="006524A5"/>
    <w:rsid w:val="00654922"/>
    <w:rsid w:val="006551B6"/>
    <w:rsid w:val="006631B5"/>
    <w:rsid w:val="006709C7"/>
    <w:rsid w:val="00694CA6"/>
    <w:rsid w:val="006B581D"/>
    <w:rsid w:val="006B6EBE"/>
    <w:rsid w:val="006C5C7D"/>
    <w:rsid w:val="006E09E9"/>
    <w:rsid w:val="006F78BE"/>
    <w:rsid w:val="00716D02"/>
    <w:rsid w:val="00767FA2"/>
    <w:rsid w:val="00785E9E"/>
    <w:rsid w:val="007930D9"/>
    <w:rsid w:val="007B15C5"/>
    <w:rsid w:val="007B71A9"/>
    <w:rsid w:val="007D6620"/>
    <w:rsid w:val="00801548"/>
    <w:rsid w:val="0081176E"/>
    <w:rsid w:val="00843199"/>
    <w:rsid w:val="00866239"/>
    <w:rsid w:val="00871B66"/>
    <w:rsid w:val="0088249D"/>
    <w:rsid w:val="008B3467"/>
    <w:rsid w:val="008B59D5"/>
    <w:rsid w:val="008D32E2"/>
    <w:rsid w:val="008D3663"/>
    <w:rsid w:val="00900384"/>
    <w:rsid w:val="00955C4A"/>
    <w:rsid w:val="00970814"/>
    <w:rsid w:val="009A5254"/>
    <w:rsid w:val="009A7D0E"/>
    <w:rsid w:val="009C6175"/>
    <w:rsid w:val="009D6810"/>
    <w:rsid w:val="00A04184"/>
    <w:rsid w:val="00A3398E"/>
    <w:rsid w:val="00A34F8C"/>
    <w:rsid w:val="00A3591D"/>
    <w:rsid w:val="00A96566"/>
    <w:rsid w:val="00AB017B"/>
    <w:rsid w:val="00AB2653"/>
    <w:rsid w:val="00AC32B2"/>
    <w:rsid w:val="00AF1041"/>
    <w:rsid w:val="00B213DE"/>
    <w:rsid w:val="00B37BB8"/>
    <w:rsid w:val="00B87973"/>
    <w:rsid w:val="00B95B75"/>
    <w:rsid w:val="00BC16CF"/>
    <w:rsid w:val="00BD5D64"/>
    <w:rsid w:val="00BD70C5"/>
    <w:rsid w:val="00C000D8"/>
    <w:rsid w:val="00C14B73"/>
    <w:rsid w:val="00C152C8"/>
    <w:rsid w:val="00C53F0B"/>
    <w:rsid w:val="00C564D7"/>
    <w:rsid w:val="00C954C9"/>
    <w:rsid w:val="00CA3D78"/>
    <w:rsid w:val="00CB3CDD"/>
    <w:rsid w:val="00CD0F55"/>
    <w:rsid w:val="00CE1428"/>
    <w:rsid w:val="00D06517"/>
    <w:rsid w:val="00D13369"/>
    <w:rsid w:val="00D30603"/>
    <w:rsid w:val="00D4560C"/>
    <w:rsid w:val="00D75EA8"/>
    <w:rsid w:val="00DC64C7"/>
    <w:rsid w:val="00E13FEC"/>
    <w:rsid w:val="00E27C63"/>
    <w:rsid w:val="00E35359"/>
    <w:rsid w:val="00E603CE"/>
    <w:rsid w:val="00E6547A"/>
    <w:rsid w:val="00E709CC"/>
    <w:rsid w:val="00EC1957"/>
    <w:rsid w:val="00ED60BD"/>
    <w:rsid w:val="00ED67B3"/>
    <w:rsid w:val="00F03E71"/>
    <w:rsid w:val="00F113E3"/>
    <w:rsid w:val="00F11D35"/>
    <w:rsid w:val="00F25409"/>
    <w:rsid w:val="00F27A47"/>
    <w:rsid w:val="00F35AB5"/>
    <w:rsid w:val="00F57F73"/>
    <w:rsid w:val="00F83FEA"/>
    <w:rsid w:val="00F92D25"/>
    <w:rsid w:val="00FE40BB"/>
    <w:rsid w:val="00FE51B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9AFA43"/>
  <w15:chartTrackingRefBased/>
  <w15:docId w15:val="{DBE8107C-AACD-4A5E-8675-A0A03490B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1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930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30D9"/>
    <w:rPr>
      <w:sz w:val="20"/>
      <w:szCs w:val="20"/>
    </w:rPr>
  </w:style>
  <w:style w:type="character" w:styleId="EndnoteReference">
    <w:name w:val="endnote reference"/>
    <w:basedOn w:val="DefaultParagraphFont"/>
    <w:uiPriority w:val="99"/>
    <w:semiHidden/>
    <w:unhideWhenUsed/>
    <w:rsid w:val="007930D9"/>
    <w:rPr>
      <w:vertAlign w:val="superscript"/>
    </w:rPr>
  </w:style>
  <w:style w:type="paragraph" w:styleId="ListParagraph">
    <w:name w:val="List Paragraph"/>
    <w:basedOn w:val="Normal"/>
    <w:uiPriority w:val="34"/>
    <w:qFormat/>
    <w:rsid w:val="00ED67B3"/>
    <w:pPr>
      <w:ind w:left="720"/>
      <w:contextualSpacing/>
    </w:pPr>
  </w:style>
  <w:style w:type="character" w:styleId="Hyperlink">
    <w:name w:val="Hyperlink"/>
    <w:basedOn w:val="DefaultParagraphFont"/>
    <w:uiPriority w:val="99"/>
    <w:unhideWhenUsed/>
    <w:rsid w:val="002C6ADE"/>
    <w:rPr>
      <w:color w:val="0563C1" w:themeColor="hyperlink"/>
      <w:u w:val="single"/>
    </w:rPr>
  </w:style>
  <w:style w:type="character" w:styleId="UnresolvedMention">
    <w:name w:val="Unresolved Mention"/>
    <w:basedOn w:val="DefaultParagraphFont"/>
    <w:uiPriority w:val="99"/>
    <w:semiHidden/>
    <w:unhideWhenUsed/>
    <w:rsid w:val="002C6ADE"/>
    <w:rPr>
      <w:color w:val="605E5C"/>
      <w:shd w:val="clear" w:color="auto" w:fill="E1DFDD"/>
    </w:rPr>
  </w:style>
  <w:style w:type="character" w:customStyle="1" w:styleId="eop">
    <w:name w:val="eop"/>
    <w:basedOn w:val="DefaultParagraphFont"/>
    <w:rsid w:val="009708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www.stahlbau.tu-braunschweig.de/index.php/de/menu-forschung-de/menu-forschungsgebiete-de/menu-windingenieurwesen-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57805C6-5A45-4B56-9D04-DE5604F93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5</Pages>
  <Words>997</Words>
  <Characters>5685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Ruhr-Universitaet Bochum</Company>
  <LinksUpToDate>false</LinksUpToDate>
  <CharactersWithSpaces>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Ika Kurniawati</dc:creator>
  <cp:keywords/>
  <dc:description/>
  <cp:lastModifiedBy>Mahsa Mirboland</cp:lastModifiedBy>
  <cp:revision>43</cp:revision>
  <dcterms:created xsi:type="dcterms:W3CDTF">2022-09-25T18:15:00Z</dcterms:created>
  <dcterms:modified xsi:type="dcterms:W3CDTF">2022-10-25T16:21:00Z</dcterms:modified>
</cp:coreProperties>
</file>